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389</w:t>
      </w:r>
    </w:p>
    <w:p>
      <w:r>
        <w:t>Bundesgericht (BGE), 2023-07-01, DE</w:t>
      </w:r>
    </w:p>
    <w:p>
      <w:r>
        <w:rPr>
          <w:b/>
        </w:rPr>
        <w:t xml:space="preserve">Quelle: </w:t>
      </w:r>
      <w:r>
        <w:t>https://mcp.opencaselaw.ch/entscheid/bge_150 IV 389</w:t>
      </w:r>
    </w:p>
    <w:p>
      <w:r>
        <w:t>FR: ATF 150 IV 389</w:t>
      </w:r>
    </w:p>
    <w:p>
      <w:r>
        <w:t>IT: DTF 150 IV 389</w:t>
      </w:r>
    </w:p>
    <w:p>
      <w:pPr>
        <w:pStyle w:val="Heading2"/>
      </w:pPr>
      <w:r>
        <w:t>Regeste</w:t>
      </w:r>
    </w:p>
    <w:p>
      <w:r>
        <w:t>Regeste a Art. 262 StGB; Störung des Totenfriedens. Die am 1. Juli 2023 in Kraft getretene redaktionelle Anpassung von Art. 262 StGB, die rein sprachlicher Natur ist und vor allem auf eine geschlechtsneutrale Formulierung abzielt, bleibt für die Auslegung der Strafnorm ohne Belang (E. 4.1). Mehr als die Verletzung der Integrität der körperlichen Hülle als solche erweist sich die Vereinbarkeit des Verhaltens des Täters mit den gesellschaftlichen Normen als massgebend für die Erfüllung des objektiven Tatbestands (E. 4.2).</w:t>
      </w:r>
    </w:p>
    <w:p>
      <w:r>
        <w:t>Regeste b Art. 11 und 262 StGB; Störung des Totenfriedens durch Unterlassen. Das Erfolgsdelikt von Art. 262 StGB kann durch Unterlassen begangen werden (E. 4.3). Die Garantenstellung ergibt sich vorliegend aus einer kantonalen Rechtsvorschrift, die eine Pflicht zur Meldung des Todesfalls für jene Person vorsieht, die einen Leichnam entdeckt. Eine solche Meldepflicht, die nicht bloss Ausfluss des Grundsatzes von Treu und Glauben ist, sondern eine spezifische Pflicht darstellt, die einen bestimmten Zweck im Zusammenhang mit dem von Art. 262 StGB geschützten Rechtsgut verfolgt, ist nicht mit der Pflicht vergleichbar, Änderungen in den für den Bezug von Leistungen massgebenden Verhältnissen zu melden (E. 4.5).</w:t>
      </w:r>
    </w:p>
    <w:p>
      <w:pPr>
        <w:pStyle w:val="Heading2"/>
      </w:pPr>
      <w:r>
        <w:t>Erwägungen</w:t>
      </w:r>
    </w:p>
    <w:p>
      <w:r>
        <w:rPr>
          <w:b/>
        </w:rPr>
        <w:t>E. 4</w:t>
      </w:r>
    </w:p>
    <w:p>
      <w:r>
        <w:t>Le recourant conteste ensuite que les conditions objectives de l'infraction d'atteinte à la paix des morts soient réalisées. Il y a un intérêt juridique ( art. 81 al. 1 let. b LTF ), en tant que cet élément conditionne tant l'allocation des conclusions civiles (consid. 5 non publié) que le prononcé de la mesure (consid. 6 non publié).</w:t>
      </w:r>
    </w:p>
    <w:p>
      <w:r>
        <w:rPr>
          <w:b/>
        </w:rPr>
        <w:t>E. 4.1</w:t>
      </w:r>
    </w:p>
    <w:p>
      <w:r>
        <w:t>Conformément à l' art. 262 CP , dans sa teneur en vigueur jusqu'au 30 juin 2023, soit au moment des faits, celui qui aura grossièrement profané le lieu où repose un mort, celui qui, méchamment, aura troublé ou profané un convoi funèbre ou une cérémonie funèbre, celui qui aura profané ou publiquement outragé un cadavre humain, sera BGE 150 IV 389 S. 399 puni d'une peine privative de liberté de trois ans au plus ou d'une peine pécuniaire (ch. 1). Celui qui, contre la volonté de l'ayant droit, aura soustrait un cadavre humain, une partie d'un cadavre humain, ou les cendres d'un mort sera puni d'une peine privative de liberté de trois ans au plus ou d'une peine pécuniaire (ch. 2). La modernisation rédactionnelle de ce texte, entrée en vigueur au 1 er juillet 2023, de nature purement linguistique et à vocation surtout épicène (Message du 25 avril 2018 concernant la loi fédérale sur l'harmonisation des peines et la loi fédérale sur l'adaptation du droit pénal accessoire au droit des sanctions modifié, FF 2018 2889, spéc. 2907 ch. 1.2.5), tels l'usage du futur et du pronom "quiconque", sont dépourvues de toute portée quant à l'interprétation de la norme. Il n'en va pas différemment de la substitution de la locution "celui qui aura profané ou publiquement outragé" par l'expression "quiconque profane ou outrage publiquement", qui ne saurait, sans aboutir à un contre-sens patent, avoir pour conséquence que seule la profanation publique serait désormais punissable, à l'instar de l'outrage (sur la notion de profanation, v. infra consid. 4.2). Il s'ensuit, par ailleurs, que le droit en vigueur au moment des faits, qui n'est pas moins favorable au recourant, demeure applicable ( art. 2 al. 1 CP ).</w:t>
      </w:r>
    </w:p>
    <w:p>
      <w:r>
        <w:rPr>
          <w:b/>
        </w:rPr>
        <w:t>E. 4.2</w:t>
      </w:r>
    </w:p>
    <w:p>
      <w:r>
        <w:t>L' art. 262 ch. 1 al. 3 CP , qui définit une infraction contre la paix publique, protège le sentiment de piété à l'égard des morts, considéré de manière générale et non restreint aux émotions des seuls proches du défunt. Non définie par le législateur, la notion de profanation (Verunehrung; profanazione) , qui figure aussi à l' art. 261 CP (atteinte à la liberté de croyance et de culte), s'entend ici de tout mauvais traitement infligé à une dépouille mortelle, qu'elle soit détroussée, mutilée ou l'objet de tout autre geste de mépris ou de dépréciation, ce qui inclut tout acte inutile, soit toute action ne reposant sur aucun motif spécifique légitime commis sur un cadavre. Contrairement aux autres hypothèses visées par l' art. 262 CP , la profanation d'un cadavre humain est sanctionnée même si elle n'est ni grossière (ch. 1 al. 1) ni méchante (ch. 1 al. 2; cf. également la locution "de façon vile" et l'adverbe "méchamment" à l' art. 261 CP ; SJ 2019 I p. 349 consid. 1.1.2; arrêt 6B_994/2021 du 27 janvier 2023 consid. 2.3 et les références citées). Entrent ainsi en considération, non seulement les comportements ressortissant à la nécrophilie, le démembrement du corps, sa carbonisation en vue de s'en débarrasser, son exhumation, le prélèvement de composants artificiels (prothèses ou stimulateurs cardiaques) ou le fait de défigurer le mort, de le spolier, de le BGE 150 IV 389 S. 400 dénuder sans motif médical, hors de toute enquête ou simplement faute de faire preuve du professionnalisme qui s'impose à ceux tenus de procéder à de tels actes ( ATF 129 IV 172 consid. 2.1; arrêt 6B_994/2021 précité consid. 2.3 et les références citées). Plus que l'atteinte portée à l'intégrité de l'enveloppe charnelle comme telle, c'est la compatibilité du comportement de l'auteur avec les normes sociales qui détermine la réalisation de cet élément objectif (arrêt 6B_994/2021 précité consid. 2.3 et les références citées).</w:t>
      </w:r>
    </w:p>
    <w:p>
      <w:r>
        <w:rPr>
          <w:b/>
        </w:rPr>
        <w:t>E. 4.3</w:t>
      </w:r>
    </w:p>
    <w:p>
      <w:r>
        <w:t>L'infraction de résultat réprimée par l' art. 262 CP est susceptible d'être commise par omission (v. p. ex.: arrêt 6B_969/2009 du 25 janvier 2010 consid. 1.3), en d'autres termes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pourtant pas. Il faut qu'elle découle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références citées; arrêt 6B_877/2015 du 20 juin 2016 consid. 4.1). Il s'agit ainsi d'un devoir juridique qualifié. L'obligation incombant à l'auteur doit être spécifique et impérieuse. Par ailleurs, si le texte légal laisse place à la consécration jurisprudentielle d'autres situations de garant que celles expressément mentionnées par la loi, un tel complètement doit demeurer circonscrit à une interprétation restrictive pour d'évidentes raisons en lien avec le principe de la légalité et la sécurité du droit (DONATSCH/GODENZI/TAG, Strafrecht I, 10 e éd. 2022, § 30 ch. 2.111 et la note 9; CASSANI/VILLARD, in Commentaire romand, Code pénal, vol. I, 2 e éd. 2021, n os 21 et 24 s. ad art. 11 CP ; TRECHSEL/FATEH-MOGHADAM, in Schweizerisches Strafgesetzbuch, Praxiskommentar, 4 e éd. 2021, n° 3 ad art. 11 CP ; NIGGLI/ MUSKENS, in Basler Kommentar, Strafrecht, 4 e éd. 2019, n° 72 ad art. 11 CP ; GÜNTHER STRATENWERTH, Allgemeiner Teil, Bd. I, 4 e éd. 2011, § 14 n. 9). BGE 150 IV 389 S. 401</w:t>
      </w:r>
    </w:p>
    <w:p>
      <w:r>
        <w:rPr>
          <w:b/>
        </w:rPr>
        <w:t>E. 4.4</w:t>
      </w:r>
    </w:p>
    <w:p>
      <w:r>
        <w:t>La cour cantonale a retenu que le recourant était l'ami intime de la défunte, avec laquelle il formait également une communauté de risque liée à la consommation de substances psychoactives, qu'il séjournait régulièrement chez elle, se trouvait auprès de la jeune femme avant, vraisemblablement pendant et juste après le décès de celle-ci, qu'il disposait d'un libre accès à l'appartement, y avait fait des allers-retours durant les quinze jours ayant suivi le décès et en avait la maîtrise exclusive. Il avait notamment refusé d'ouvrir la porte de l'appartement, à tout le moins à une occasion, à une aide-soignante et ainsi empêché une prise en charge adéquate de la défunte. Cette communauté de vie et les liens affectifs unissant les jeunes gens permettaient dès lors de retenir une position de garant. Le recourant objecte qu'il ne pourrait lui être adressé le même reproche que s'il avait commis l'infraction par un comportement actif. Seule pourrait lui être imputée l'omission de ne pas avoir averti les autorités compétentes au sens de l'art. 34a de l'Ordonnance sur l'état civil (OEC), mais non d'avoir laissé ou mis le corps dans un état indécent, lequel avait exclusivement résulté de processus naturels.</w:t>
      </w:r>
    </w:p>
    <w:p>
      <w:r>
        <w:rPr>
          <w:b/>
        </w:rPr>
        <w:t>E. 4.5</w:t>
      </w:r>
    </w:p>
    <w:p>
      <w:r>
        <w:t>Étant souligné que le caractère spécifique de la position de garant suppose l'existence d'un lien particulier de celui qui a omis d'agir avec l'atteinte au bien juridique protégé par la norme pénale et que l' art. 262 CP protège, dans la perspective de la paix publique, le sentiment de piété, des tiers proches ou non, à l'égard des défunts, on perçoit mal ce que la cour cantonale a entendu déduire d'une éventuelle communauté de risque liée à la consommation de substances psychoactives, qui ne pourrait guère jouer un rôle que dans le contexte d'une atteinte à la vie ou à l'intégrité physique voire d'une éventuelle mise en danger, qui ne sont pas en discussion en l'espèce. Il est, par ailleurs, constant que le recourant était l'ami intime de la défunte, mais on ne voit pas que cette circonstance lui imposât, en tant que telle, des devoirs juridiques envers les proches de la défunte ou d'autres tiers. Enfin, la décision entreprise ne constate pas que le recourant aurait vécu sous le même toit que son amie, mais simplement qu'il y séjournait régulièrement et disposait des clés du logement. On ne voit pas que ces différents éléments, même considérés conjointement, soient suffisamment spécifiques pour fonder une obligation non seulement morale mais juridique et impérieuse d'agir afin de préserver le sentiment de piété de tous tiers ou des proches de la défunte, dans le cadre interprétatif restreint défini ci-dessus. BGE 150 IV 389 S. 402 Comme le relève à juste titre également le recourant, il est douteux que l' art. 34a OEC , dont le but est d'assurer le fonctionnement de l'état civil, de son registre en particulier, qui constitue la référence pour de nombreuses opérations à caractère juridique, puisse fonder une obligation de préserver le sentiment de piété et la paix publique. Il reste que, comme le souligne le recourant lui-même, le droit cantonal institue une obligation spécifique d'annoncer les décès. Conformément à l'art. 7 al. 1 du Règlement vaudois du 12 septembre 2012 sur les décès, les sépultures et les pompes funèbres (RDSPF; BLV 818.41.1), dans les douze heures, ou au plus tard à l'ouverture des bureaux, la personne responsable ou son représentant annonce le décès au préposé du lieu du décès ou de la découverte du corps, et lui transmet l'exemplaire du certificat médical qui lui est destiné. Par la personne responsable, il faut entendre celle chargée par la législation fédérale et cantonale en matière d'état civil de l'annonce des décès auprès de l'état civil et de l'administration communale (art. 2 al. 1 let. a RDSPF), cependant que le préposé (aux sépultures) est la personne compétente pour délivrer le permis d'inhumer ou d'incinérer, organiser ou veiller au bon déroulement des cérémonies funèbres et exécuter les autres tâches qui lui sont attribuées par le règlement communal ou que l'autorité communale lui confie (let. b). Enfin, conformément à l' art. 34a OEC sont notamment tenus d'annoncer les décès, hors hôpitaux, établissements médico-sociaux ou institutions similaires, le conjoint ou le partenaire survivant, les proches parents ou les personnes vivant sous le même toit ou toute autre personne qui a assisté au décès ou qui a découvert le corps (al. 1 let. b). Si le droit cantonal renvoie, à titre supplétif, aux règles du droit fédéral en matière d'état civil pour déterminer le cercle des personnes tenues d'annoncer les décès, et si le droit cantonal institue par ailleurs également une obligation d'annoncer à l'état civil (art. 8 RDSPF), l'obligation découlant de l'art. 7 al. 1 RDSPF n'en poursuit pas moins un but distinct, puisqu'il s'agit d'informer l'autorité responsable du bon déroulement des cérémonies funèbres et, partant, notamment de garantir une prise en charge de la dépouille (transport, interventions médicales, thanatopraxie, soins mortuaires, etc.) respectant les normes sociales. Il ne fait ainsi aucun doute que cette obligation d'annonce, à côté d'autres buts, participe du maintien de la paix publique et protège le sentiment de piété de tout un chacun envers un défunt. Il convient encore de préciser que dans le domaine des assurances, sociales en particulier, le Tribunal fédéral a exclu qu'une simple BGE 150 IV 389 S. 403 obligation d'annonce puisse fonder une position de garant. Cette jurisprudence est cependant spécifique à l'obligation d'annoncer une modification des circonstances justifiant l'octroi de prestations, qui constitue une émanation du principe général de la bonne foi et n'entraîne pas le transfert sur la tête de l'assuré de la responsabilité de l'intégrité du patrimoine de l'assureur (v. ATF 140 IV 11 consid. 2.4.3 ss; ATF 131 IV 83 consid. 2.1.3 in fine). Ce raisonnement, qu'il n'y a pas lieu de discuter en l'espèce, ne peut cependant être transposé à toute obligation d'annonce. Il n'est, en particulier, pas pertinent en l'espèce, où l'obligation d'annoncer statuée par l'art. 7 al. 1 RDSPF n'est pas une simple cautèle du principe de la bonne foi, mais une obligation topique poursuivant un but déterminé. Celle-ci pèse notamment sur celui qui assiste à un décès ou découvre un cadavre et tend à assurer le respect de normes sociales essentielles et, par là même, outre celui d'évidentes contingences sanitaires, la paix publique par la protection du sentiment de piété envers la dépouille d'un défunt, dont tout un chacun, les proches du trépassé en particulier, est susceptible d'être titulaire et garant.</w:t>
      </w:r>
    </w:p>
    <w:p>
      <w:r>
        <w:rPr>
          <w:b/>
        </w:rPr>
        <w:t>E. 4.6</w:t>
      </w:r>
    </w:p>
    <w:p>
      <w:r>
        <w:t>En l'espèce, la décision entreprise retient que le recourant se trouvait auprès de la jeune femme avant, vraisemblablement pendant et juste après le décès de celle-ci, qu'il disposait d'un libre accès à l'appartement et y avait fait des allers-retours, qu'il disposait des clés du logement et n'y a pas laissé pénétrer une personne venue dispenser des soins. À son retour dans l'appartement, à une heure indéterminée du 26 août 2021, il avait découvert le corps sans vie. Il n'y a, dès lors, aucun doute qu'il a été la première personne à le voir, ce qui suffit à fonder, en application du droit cantonal, l'obligation d'annonce à l'autorité compétente pour assurer le bon déroulement de la prise en charge du corps et en éviter la décomposition dans des circonstances dénuées de toute dignité, partant, susceptibles d'atteindre le sentiment de piété, notamment des proches de la jeune femme. Compte tenu du caractère inéluctable de la dégradation de l'enveloppe charnelle en l'absence de toute mesure adéquate et du droit des proches à la protection de leur sentiment de piété au travers de leur liberté personnelle ( art. 10 Cst. ; cf. ATF 129 I 173 consid. 2.1; ATF 127 I 115 consid. 6b; ATF 123 I 112 consid. 4c; ATF 111 Ia 231 consid. 3; arrêt 1C_430/2009 du 4 février 2010 consid. 2.1.2), l'omission du recourant, qui a empêché la prise de ces mesures quinze jours durant et a donc laissé la dépouille parvenir à un état de putrescence avancé, apparaît en tout point assimilable au fait de provoquer activement BGE 150 IV 389 S. 404 une atteinte au sentiment de piété par des gestes empreints de mépris ou de dépréciation.</w:t>
      </w:r>
    </w:p>
    <w:p>
      <w:r>
        <w:rPr>
          <w:b/>
        </w:rPr>
        <w:t>E. 4.7</w:t>
      </w:r>
    </w:p>
    <w:p>
      <w:r>
        <w:t>Le recourant objecte encore qu'en habillant le pied gauche de la défunte d'une chaussette, en déposant un pantalon court et deux couvertures sur le corps, puis en tentant vainement (en raison d'un problème de fonctionnement de l'appareil) de faire appel aux numéros 144 et 177 au moyen du téléphone portable de la défunte, il aurait eu l'impression d'avoir fait ce qui lui incombait. Il souligne, par ailleurs, que personne n'aurait alerté les proches ou la police durant 14 jours alors que la jeune femme était suivie par le centre médico-social et que le comportement de la famille de cette dernière ne serait pas exempt non plus de tout reproche.</w:t>
      </w:r>
    </w:p>
    <w:p>
      <w:r>
        <w:rPr>
          <w:b/>
        </w:rPr>
        <w:t>E. 4.7.1</w:t>
      </w:r>
    </w:p>
    <w:p>
      <w:r>
        <w:t>Le premier pan de cette argumentation a trait au contenu de la pensée du recourant. Il est sans pertinence en tant que la décision entreprise, qui ne porte pas sur la condamnation du recourant mais sur sa responsabilité pénale, l'institution d'une mesure et les prétentions civiles de la partie plaignante, n'examine précisément pas le volet subjectif de l'infraction réprimée par l' art. 262 CP ( ATF 147 IV 93 consid. 1.3.5). De surcroît, le contenu de la pensée du recourant, constitue un fait dit "interne" ( ATF 148 IV 234 consid. 3.4). Le Tribunal fédéral, lié par les faits constatés dans la décision entreprise ( art. 105 al. 1 LTF ), ne revoit guère de telles questions que sous l'angle de l'arbitraire (art. 97 al. 1 et 105 al. 2 LTF; sur cette notion, v. ATF 147 IV 73 consid. 4.1.2) et n'examine de tels griefs à l'instar de tous ceux qui relèvent de la violation de droits fondamentaux, que s'ils sont invoqués et motivés par le recourant ( art. 106 al. 2 LTF ; v. consid. 1.1 non publié), soit s'ils ont été expressément soulevés et exposés de manière claire et détaillée, de simples critiques de nature appellatoire étant irrecevables ( ATF 148 IV 356 consid. 2.1, ATF 148 IV 409 consid. 2.2). Faute de toute discussion répondant à ces exigences de motivation accrues, le moyen, au mieux appellatoire, est également irrecevable d'un point de vue simplement formel.</w:t>
      </w:r>
    </w:p>
    <w:p>
      <w:r>
        <w:rPr>
          <w:b/>
        </w:rPr>
        <w:t>E. 4.7.2</w:t>
      </w:r>
    </w:p>
    <w:p>
      <w:r>
        <w:t>Pour le surplus, il n'y a rien d'extraordinaire à ce que des proches demeurent sans contact plusieurs jours, voire plusieurs semaines, de sorte que les reproches que le recourant élève maladroitement à l'encontre de la famille de la défunte ne sont manifestement pas de nature à écarter toute causalité hypothétique entre l'omission reprochée au recourant et le résultat constitutif de l'infraction (sur les notions de causalité hypothétique, respectivement adéquate, et sa rupture: v. ATF 134 IV 255 consid. 4.4.1 s.; ATF 133 IV 158 consid. 6.1; cf. aussi ATF 143 III 242 consid. 3.7 ainsi que ATF 116 IV 182 consid. 4a BGE 150 IV 389 S. 405 et les références citées). Le recourant perd de vue qu'il n'y a, de toute manière pas de compensation des fautes en droit pénal ( ATF 122 IV 17 consid. 2c/bb; plus récemment, parmi tant d'autres: arrêt 6B_628/ 2022 du 22 mars 2023 consid. 3.4), si bien qu'il ne peut rien déduire en sa faveur non plus de ses développements relatifs au personnel du centre médico-social, qu'il a, du reste, lui-même empêché d'accéder à l'appartement.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